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1" w:rsidRDefault="00302643" w:rsidP="00302643">
      <w:pPr>
        <w:pStyle w:val="Bezmezer"/>
        <w:rPr>
          <w:b/>
        </w:rPr>
      </w:pPr>
      <w:r>
        <w:rPr>
          <w:b/>
        </w:rPr>
        <w:t>Letní filmová škola ocenila Petera Geenawaye</w:t>
      </w:r>
    </w:p>
    <w:p w:rsidR="00302643" w:rsidRDefault="00302643" w:rsidP="00302643">
      <w:pPr>
        <w:pStyle w:val="Bezmezer"/>
      </w:pPr>
      <w:r w:rsidRPr="00302643">
        <w:t xml:space="preserve">Historicky první výroční cenu Asociace českých filmových klubů (AČFK) v nové podobě – porcelánovou trofej ve tvaru kornoutu točené zmrzliny – si ze 40. Letní filmové školy Uherské Hradiště odváží velikán světového filmu Peter Greenaway. </w:t>
      </w:r>
    </w:p>
    <w:p w:rsidR="00302643" w:rsidRPr="00302643" w:rsidRDefault="00302643" w:rsidP="00302643">
      <w:pPr>
        <w:pStyle w:val="Bezmezer"/>
      </w:pPr>
      <w:r w:rsidRPr="00302643">
        <w:t>Respektovaný britský režisér cenu převzal během slavnostního zahájení v sobotu v Kině Hvězda a festivalovému publiku následně představil svůj nejnovější film Goltzius a společnost Pelikán. Značnou pozornost a ohlas vzbudila také sobotní multimediální přednáška Petera Greenawaye o smrti filmu a nových možnostech kinematografie.</w:t>
      </w:r>
    </w:p>
    <w:p w:rsidR="00302643" w:rsidRDefault="00302643" w:rsidP="00302643">
      <w:pPr>
        <w:pStyle w:val="Bezmezer"/>
      </w:pPr>
      <w:r w:rsidRPr="00302643">
        <w:t xml:space="preserve">Velkou událostí byla vernisáž exkluzivní výstavy Ejzenštejn v Guanajuatu (Kresby k připravovanému filmu) ve Slováckém muzeu, představující kolekci režisérových kreseb a črt pořízených během práce na velkém projektu s názvem Greenaway o Ejzenštejnovi, jenž bude obsahovat </w:t>
      </w:r>
      <w:r>
        <w:t>dva</w:t>
      </w:r>
      <w:r w:rsidRPr="00302643">
        <w:t xml:space="preserve"> celovečerní filmy a </w:t>
      </w:r>
      <w:r>
        <w:t>sto</w:t>
      </w:r>
      <w:r w:rsidRPr="00302643">
        <w:t xml:space="preserve"> krátkých multimediálních filmů.  </w:t>
      </w:r>
    </w:p>
    <w:p w:rsidR="00302643" w:rsidRDefault="00302643" w:rsidP="00302643">
      <w:pPr>
        <w:pStyle w:val="Bezmezer"/>
      </w:pPr>
      <w:r w:rsidRPr="00302643">
        <w:t xml:space="preserve">První celovečerní film Ejzenštejn v Guanajuatu bude mít premiéru začátkem roku 2015. Přibližuje dny, které slavný ruský režisér Sergej M. Ejzenštejn v roce 1930 prožil v Guanajuatu, když v Mexiku připravoval film Ať žije Mexiko! Pobyt v Mexiku byl pro Ejzenštejna v mnoha ohledech klíčový, provázely jej silné emocionální zážitky. Po vzoru Ejzenštejnova předchozího sovětského opusu Deset dní, které otřásly světem, by se film Ejzenštejn v Guanajuatu mohl jmenovat Deset dní, které otřásly Ejzenštejnem.  </w:t>
      </w:r>
    </w:p>
    <w:p w:rsidR="00302643" w:rsidRPr="00302643" w:rsidRDefault="00302643" w:rsidP="00302643">
      <w:pPr>
        <w:pStyle w:val="Bezmezer"/>
      </w:pPr>
      <w:r w:rsidRPr="00302643">
        <w:t xml:space="preserve">Padesát kreseb Petera Greenawaye, prezentovaných na výstavě Ejzenštejn v Guanajuatu, mimo jiné odráží oběma režisérům společnou fascinaci předkolumbovskými keramickými figurkami, reflektujícími tematiku sexu a smrti. Unikátní výstava </w:t>
      </w:r>
      <w:r>
        <w:t>bude</w:t>
      </w:r>
      <w:r w:rsidRPr="00302643">
        <w:t xml:space="preserve"> ve Slováckém muzeu k vidění až do konce </w:t>
      </w:r>
      <w:r>
        <w:t>letošní</w:t>
      </w:r>
      <w:r w:rsidRPr="00302643">
        <w:t xml:space="preserve"> Letní filmové školy.</w:t>
      </w:r>
    </w:p>
    <w:p w:rsidR="00302643" w:rsidRDefault="00302643" w:rsidP="00302643">
      <w:pPr>
        <w:pStyle w:val="Bezmezer"/>
      </w:pPr>
      <w:r w:rsidRPr="00302643">
        <w:t>Dvaasedmdesátiletého Petera Greenawaye proslavily umělecky zaměřené filmy s charakteristickou výtvarnou stylizací jednotlivých scén. Ve světě současné kinematografie je považován za naprosto autentickou a solitérní autorskou osobnost vymykající se komplexem svého díla většině skupin, tendencí a žánrů. Mezi jeho nejvýznamnější díla patří Umělcova smlouva, Prosperovy knihy, Topení po číslech, Kuchař, zloděj, jeho žena a její milenec. Průřez dosavadní tvorbou Petera Greenawaye je součástí programu 40. LFŠ v rámci sekce Zvláštní uvedení – Pocta: Peter Greenaway.</w:t>
      </w:r>
    </w:p>
    <w:p w:rsidR="00BF6862" w:rsidRDefault="00BF6862" w:rsidP="00302643">
      <w:pPr>
        <w:pStyle w:val="Bezmezer"/>
        <w:rPr>
          <w:b/>
        </w:rPr>
      </w:pPr>
      <w:r>
        <w:rPr>
          <w:b/>
        </w:rPr>
        <w:t>Redakce</w:t>
      </w:r>
    </w:p>
    <w:p w:rsidR="00BF6862" w:rsidRPr="00BF6862" w:rsidRDefault="00BF6862" w:rsidP="00302643">
      <w:pPr>
        <w:pStyle w:val="Bezmezer"/>
        <w:rPr>
          <w:b/>
        </w:rPr>
      </w:pPr>
      <w:bookmarkStart w:id="0" w:name="_GoBack"/>
      <w:bookmarkEnd w:id="0"/>
    </w:p>
    <w:p w:rsidR="00302643" w:rsidRPr="00302643" w:rsidRDefault="00302643" w:rsidP="00302643">
      <w:pPr>
        <w:pStyle w:val="Bezmezer"/>
      </w:pPr>
    </w:p>
    <w:sectPr w:rsidR="00302643" w:rsidRPr="0030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43"/>
    <w:rsid w:val="002A4B60"/>
    <w:rsid w:val="00302643"/>
    <w:rsid w:val="00514B15"/>
    <w:rsid w:val="00843F22"/>
    <w:rsid w:val="00A81741"/>
    <w:rsid w:val="00BF6862"/>
    <w:rsid w:val="00F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643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843F22"/>
    <w:pPr>
      <w:keepNext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F22"/>
    <w:pPr>
      <w:keepNext/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3F22"/>
    <w:pPr>
      <w:keepNext/>
      <w:spacing w:before="240" w:after="60" w:line="240" w:lineRule="auto"/>
      <w:outlineLvl w:val="2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F22"/>
    <w:pPr>
      <w:keepNext/>
      <w:spacing w:before="240" w:after="60" w:line="240" w:lineRule="auto"/>
      <w:outlineLvl w:val="3"/>
    </w:pPr>
    <w:rPr>
      <w:rFonts w:ascii="Times New Roman" w:eastAsiaTheme="minorEastAsia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A4B60"/>
    <w:pPr>
      <w:spacing w:before="240" w:after="60" w:line="240" w:lineRule="auto"/>
      <w:outlineLvl w:val="4"/>
    </w:pPr>
    <w:rPr>
      <w:rFonts w:ascii="Times New Roman" w:eastAsiaTheme="minorEastAsia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A4B60"/>
    <w:pPr>
      <w:spacing w:before="240" w:after="60" w:line="240" w:lineRule="auto"/>
      <w:outlineLvl w:val="5"/>
    </w:pPr>
    <w:rPr>
      <w:rFonts w:ascii="Times New Roman" w:eastAsiaTheme="minorEastAsia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22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3F2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43F2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3F22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2A4B60"/>
    <w:rPr>
      <w:rFonts w:ascii="Times New Roman" w:eastAsiaTheme="minorEastAsia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2A4B60"/>
    <w:rPr>
      <w:rFonts w:ascii="Times New Roman" w:eastAsiaTheme="minorEastAsia" w:hAnsi="Times New Roman"/>
      <w:b/>
      <w:bCs/>
    </w:rPr>
  </w:style>
  <w:style w:type="paragraph" w:styleId="Bezmezer">
    <w:name w:val="No Spacing"/>
    <w:uiPriority w:val="1"/>
    <w:qFormat/>
    <w:rsid w:val="0030264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643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843F22"/>
    <w:pPr>
      <w:keepNext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F22"/>
    <w:pPr>
      <w:keepNext/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3F22"/>
    <w:pPr>
      <w:keepNext/>
      <w:spacing w:before="240" w:after="60" w:line="240" w:lineRule="auto"/>
      <w:outlineLvl w:val="2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F22"/>
    <w:pPr>
      <w:keepNext/>
      <w:spacing w:before="240" w:after="60" w:line="240" w:lineRule="auto"/>
      <w:outlineLvl w:val="3"/>
    </w:pPr>
    <w:rPr>
      <w:rFonts w:ascii="Times New Roman" w:eastAsiaTheme="minorEastAsia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A4B60"/>
    <w:pPr>
      <w:spacing w:before="240" w:after="60" w:line="240" w:lineRule="auto"/>
      <w:outlineLvl w:val="4"/>
    </w:pPr>
    <w:rPr>
      <w:rFonts w:ascii="Times New Roman" w:eastAsiaTheme="minorEastAsia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A4B60"/>
    <w:pPr>
      <w:spacing w:before="240" w:after="60" w:line="240" w:lineRule="auto"/>
      <w:outlineLvl w:val="5"/>
    </w:pPr>
    <w:rPr>
      <w:rFonts w:ascii="Times New Roman" w:eastAsiaTheme="minorEastAsia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22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3F2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43F2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3F22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2A4B60"/>
    <w:rPr>
      <w:rFonts w:ascii="Times New Roman" w:eastAsiaTheme="minorEastAsia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2A4B60"/>
    <w:rPr>
      <w:rFonts w:ascii="Times New Roman" w:eastAsiaTheme="minorEastAsia" w:hAnsi="Times New Roman"/>
      <w:b/>
      <w:bCs/>
    </w:rPr>
  </w:style>
  <w:style w:type="paragraph" w:styleId="Bezmezer">
    <w:name w:val="No Spacing"/>
    <w:uiPriority w:val="1"/>
    <w:qFormat/>
    <w:rsid w:val="0030264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Borgis a.s.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Spulak, Jaroslav</dc:creator>
  <cp:lastModifiedBy>Spulak, Jaroslav</cp:lastModifiedBy>
  <cp:revision>1</cp:revision>
  <dcterms:created xsi:type="dcterms:W3CDTF">2014-07-27T13:56:00Z</dcterms:created>
  <dcterms:modified xsi:type="dcterms:W3CDTF">2014-07-27T13:58:00Z</dcterms:modified>
</cp:coreProperties>
</file>